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7DDD" w14:textId="77777777" w:rsidR="001D7225" w:rsidRDefault="001D7225" w:rsidP="007549F8">
      <w:pPr>
        <w:jc w:val="center"/>
        <w:rPr>
          <w:b/>
          <w:u w:val="single"/>
        </w:rPr>
      </w:pPr>
    </w:p>
    <w:p w14:paraId="46022856" w14:textId="49E1605C" w:rsidR="003A77F5" w:rsidRPr="007549F8" w:rsidRDefault="0093614F" w:rsidP="007549F8">
      <w:pPr>
        <w:jc w:val="center"/>
        <w:rPr>
          <w:b/>
          <w:u w:val="single"/>
        </w:rPr>
      </w:pPr>
      <w:r>
        <w:rPr>
          <w:b/>
          <w:u w:val="single"/>
        </w:rPr>
        <w:t>Addendum to the Terms of Business</w:t>
      </w:r>
      <w:r w:rsidRPr="007549F8">
        <w:rPr>
          <w:b/>
          <w:u w:val="single"/>
        </w:rPr>
        <w:t xml:space="preserve"> </w:t>
      </w:r>
      <w:r w:rsidR="007549F8" w:rsidRPr="007549F8">
        <w:rPr>
          <w:b/>
          <w:u w:val="single"/>
        </w:rPr>
        <w:t xml:space="preserve">issued by </w:t>
      </w:r>
      <w:r w:rsidR="00E67587" w:rsidRPr="007549F8">
        <w:rPr>
          <w:b/>
          <w:u w:val="single"/>
        </w:rPr>
        <w:t>Société</w:t>
      </w:r>
      <w:r w:rsidR="007549F8" w:rsidRPr="007549F8">
        <w:rPr>
          <w:b/>
          <w:u w:val="single"/>
        </w:rPr>
        <w:t xml:space="preserve"> </w:t>
      </w:r>
      <w:r w:rsidR="00E67587" w:rsidRPr="007549F8">
        <w:rPr>
          <w:b/>
          <w:u w:val="single"/>
        </w:rPr>
        <w:t>Générale</w:t>
      </w:r>
      <w:r w:rsidR="007549F8" w:rsidRPr="007549F8">
        <w:rPr>
          <w:b/>
          <w:u w:val="single"/>
        </w:rPr>
        <w:t xml:space="preserve"> ("SG SA")</w:t>
      </w:r>
    </w:p>
    <w:p w14:paraId="10CE2197" w14:textId="77777777" w:rsidR="007549F8" w:rsidRDefault="007549F8" w:rsidP="007549F8"/>
    <w:p w14:paraId="70BF4C1F" w14:textId="0531AF15" w:rsidR="001F7A8C" w:rsidRDefault="001F7A8C" w:rsidP="002B5801">
      <w:pPr>
        <w:jc w:val="both"/>
      </w:pPr>
      <w:r>
        <w:t xml:space="preserve">This </w:t>
      </w:r>
      <w:r w:rsidR="008353A9">
        <w:t>Addendum</w:t>
      </w:r>
      <w:r>
        <w:t xml:space="preserve"> to the Terms of Business forms an integral part of, and must be read in conjunction with, the Terms of Business.</w:t>
      </w:r>
    </w:p>
    <w:p w14:paraId="3F777F99" w14:textId="49445014" w:rsidR="00F937E3" w:rsidRPr="0004269D" w:rsidRDefault="00C92E01" w:rsidP="002B5801">
      <w:pPr>
        <w:jc w:val="both"/>
        <w:rPr>
          <w:highlight w:val="yellow"/>
        </w:rPr>
      </w:pPr>
      <w:r w:rsidRPr="00C64808">
        <w:rPr>
          <w:b/>
          <w:bCs/>
        </w:rPr>
        <w:t xml:space="preserve">If you are not based in </w:t>
      </w:r>
      <w:r>
        <w:rPr>
          <w:b/>
          <w:bCs/>
        </w:rPr>
        <w:t xml:space="preserve">the </w:t>
      </w:r>
      <w:r w:rsidRPr="00C64808">
        <w:rPr>
          <w:b/>
          <w:bCs/>
        </w:rPr>
        <w:t>EEA or in the UK and you are not in contact with any salesperson of Societe Generale in the EEA or in the UK</w:t>
      </w:r>
      <w:r w:rsidRPr="00C92E01">
        <w:t xml:space="preserve">, please </w:t>
      </w:r>
      <w:r w:rsidR="00C95E98">
        <w:t xml:space="preserve">note the following </w:t>
      </w:r>
      <w:r w:rsidR="00BC232D">
        <w:t>amendments</w:t>
      </w:r>
      <w:r w:rsidR="00C95E98">
        <w:t xml:space="preserve"> to the </w:t>
      </w:r>
      <w:r w:rsidR="00BC232D">
        <w:t xml:space="preserve">SG SA </w:t>
      </w:r>
      <w:r w:rsidR="00C95E98">
        <w:t>Terms of Business:</w:t>
      </w:r>
    </w:p>
    <w:p w14:paraId="390A06DE" w14:textId="69F26DE3" w:rsidR="004D501B" w:rsidRDefault="004D501B" w:rsidP="002B5801">
      <w:pPr>
        <w:jc w:val="both"/>
      </w:pPr>
    </w:p>
    <w:p w14:paraId="752F8778" w14:textId="4FBAA0DE" w:rsidR="00EB4618" w:rsidRDefault="004D501B" w:rsidP="00CC6DC7">
      <w:pPr>
        <w:pStyle w:val="ListParagraph"/>
        <w:numPr>
          <w:ilvl w:val="0"/>
          <w:numId w:val="1"/>
        </w:numPr>
        <w:jc w:val="both"/>
      </w:pPr>
      <w:r>
        <w:t xml:space="preserve">in relation to the </w:t>
      </w:r>
      <w:r w:rsidR="00713B48">
        <w:t xml:space="preserve">SG SA </w:t>
      </w:r>
      <w:r w:rsidR="005F5800">
        <w:t>Terms of Business,</w:t>
      </w:r>
      <w:r>
        <w:t xml:space="preserve"> clauses 1.3</w:t>
      </w:r>
      <w:r w:rsidR="005C6D30">
        <w:t xml:space="preserve"> and</w:t>
      </w:r>
      <w:r>
        <w:t xml:space="preserve"> 1.4</w:t>
      </w:r>
      <w:r w:rsidR="003C1599">
        <w:t xml:space="preserve"> </w:t>
      </w:r>
      <w:r w:rsidR="00A27B16">
        <w:t>do not apply</w:t>
      </w:r>
      <w:r w:rsidR="0035328D">
        <w:t>;</w:t>
      </w:r>
    </w:p>
    <w:p w14:paraId="07054B71" w14:textId="77777777" w:rsidR="00CC6DC7" w:rsidRDefault="00CC6DC7" w:rsidP="00CC6DC7">
      <w:pPr>
        <w:pStyle w:val="ListParagraph"/>
        <w:ind w:left="770"/>
        <w:jc w:val="both"/>
      </w:pPr>
    </w:p>
    <w:p w14:paraId="7ED9A57D" w14:textId="5AC624A2" w:rsidR="00597089" w:rsidRDefault="00214319" w:rsidP="0072428F">
      <w:pPr>
        <w:pStyle w:val="ListParagraph"/>
        <w:numPr>
          <w:ilvl w:val="0"/>
          <w:numId w:val="1"/>
        </w:numPr>
        <w:jc w:val="both"/>
      </w:pPr>
      <w:r>
        <w:t xml:space="preserve">clause 1.8 of the SG SA Terms of Business </w:t>
      </w:r>
      <w:r w:rsidR="000A1ED5">
        <w:t xml:space="preserve">is </w:t>
      </w:r>
      <w:r w:rsidR="001C4B22">
        <w:t>deleted in its entirety</w:t>
      </w:r>
      <w:r w:rsidR="00133758">
        <w:t>;</w:t>
      </w:r>
    </w:p>
    <w:p w14:paraId="3B4F194E" w14:textId="7575D3B8" w:rsidR="0093490C" w:rsidRDefault="0093490C" w:rsidP="00904E28">
      <w:pPr>
        <w:pStyle w:val="ListParagraph"/>
        <w:ind w:left="770"/>
        <w:jc w:val="both"/>
      </w:pPr>
    </w:p>
    <w:p w14:paraId="77B40078" w14:textId="6C81281B" w:rsidR="00CD289C" w:rsidRDefault="00772EA3" w:rsidP="0000131B">
      <w:pPr>
        <w:pStyle w:val="ListParagraph"/>
        <w:numPr>
          <w:ilvl w:val="0"/>
          <w:numId w:val="1"/>
        </w:numPr>
        <w:jc w:val="both"/>
      </w:pPr>
      <w:r>
        <w:t>c</w:t>
      </w:r>
      <w:r w:rsidR="00FD5D29">
        <w:t>lause 2.1</w:t>
      </w:r>
      <w:r>
        <w:t>2</w:t>
      </w:r>
      <w:r w:rsidR="00FD5D29">
        <w:t xml:space="preserve"> of the SG SA Terms of Business</w:t>
      </w:r>
      <w:r w:rsidR="00A27B16">
        <w:t xml:space="preserve"> do</w:t>
      </w:r>
      <w:r w:rsidR="00904E28">
        <w:t>es</w:t>
      </w:r>
      <w:r w:rsidR="00A27B16">
        <w:t xml:space="preserve"> not apply</w:t>
      </w:r>
      <w:r w:rsidR="0099398D">
        <w:t xml:space="preserve">. </w:t>
      </w:r>
    </w:p>
    <w:p w14:paraId="26CF1C21" w14:textId="77777777" w:rsidR="00DE7FE5" w:rsidRDefault="00DE7FE5" w:rsidP="00DE7FE5">
      <w:pPr>
        <w:pStyle w:val="ListParagraph"/>
        <w:ind w:left="770"/>
        <w:jc w:val="both"/>
      </w:pPr>
    </w:p>
    <w:p w14:paraId="4CD6150E" w14:textId="1E567244" w:rsidR="00694346" w:rsidRDefault="00FC10FD" w:rsidP="00CD289C">
      <w:pPr>
        <w:pStyle w:val="ListParagraph"/>
        <w:numPr>
          <w:ilvl w:val="0"/>
          <w:numId w:val="1"/>
        </w:numPr>
        <w:jc w:val="both"/>
      </w:pPr>
      <w:r>
        <w:t xml:space="preserve">clause 3.6 of the SG SA Terms of Business </w:t>
      </w:r>
      <w:r w:rsidR="001236FA">
        <w:t>is deleted in its entirety</w:t>
      </w:r>
      <w:r w:rsidR="003445F0">
        <w:t>, and replaced with the following:</w:t>
      </w:r>
    </w:p>
    <w:p w14:paraId="0E3CBEBC" w14:textId="77777777" w:rsidR="003445F0" w:rsidRDefault="003445F0" w:rsidP="003445F0">
      <w:pPr>
        <w:pStyle w:val="ListParagraph"/>
      </w:pPr>
    </w:p>
    <w:p w14:paraId="756A68A0" w14:textId="71381449" w:rsidR="003445F0" w:rsidRDefault="00262709" w:rsidP="003445F0">
      <w:pPr>
        <w:pStyle w:val="ListParagraph"/>
        <w:ind w:left="770"/>
        <w:jc w:val="both"/>
      </w:pPr>
      <w:r w:rsidRPr="00262709">
        <w:t>"</w:t>
      </w:r>
      <w:r w:rsidR="003445F0" w:rsidRPr="003445F0">
        <w:rPr>
          <w:b/>
          <w:bCs/>
        </w:rPr>
        <w:t>3.6 Our Best Execution Policy:</w:t>
      </w:r>
      <w:r w:rsidR="003445F0">
        <w:t xml:space="preserve"> You confirm that you have read and agree to our Best Execution </w:t>
      </w:r>
      <w:r w:rsidR="00247F17">
        <w:t xml:space="preserve"> </w:t>
      </w:r>
      <w:bookmarkStart w:id="0" w:name="_GoBack"/>
      <w:bookmarkEnd w:id="0"/>
      <w:r w:rsidR="003445F0">
        <w:t xml:space="preserve">Policy which is available on our website </w:t>
      </w:r>
      <w:hyperlink r:id="rId10" w:history="1">
        <w:r>
          <w:rPr>
            <w:rStyle w:val="Hyperlink"/>
          </w:rPr>
          <w:t>https://wholesale.banking.societegenerale.com/en/compliance-regulatory-information/market-regulation/clearing-and-prime-brokerage-activity/</w:t>
        </w:r>
      </w:hyperlink>
      <w:r w:rsidR="003445F0">
        <w:t>. This policy will apply unless you give specific instructions that are inconsistent with it. We will notify you of any material changes to our Best Execution and Client Order Handling Policy, but it is your responsibility to check for any other changes to such policy as published from time to time on our website. The continued placement of orders by you will constitute your continued consent to our Best Execution and Client Order Handling Policy as in effect from time to time.</w:t>
      </w:r>
      <w:r>
        <w:t>"</w:t>
      </w:r>
    </w:p>
    <w:sectPr w:rsidR="003445F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6B755" w14:textId="77777777" w:rsidR="00D10DFA" w:rsidRDefault="00D10DFA" w:rsidP="003A77F5">
      <w:pPr>
        <w:spacing w:after="0" w:line="240" w:lineRule="auto"/>
      </w:pPr>
      <w:r>
        <w:separator/>
      </w:r>
    </w:p>
  </w:endnote>
  <w:endnote w:type="continuationSeparator" w:id="0">
    <w:p w14:paraId="670644BA" w14:textId="77777777" w:rsidR="00D10DFA" w:rsidRDefault="00D10DFA" w:rsidP="003A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A21B" w14:textId="77777777" w:rsidR="00881D7F" w:rsidRDefault="0088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79" w:type="dxa"/>
      <w:tblInd w:w="-937" w:type="dxa"/>
      <w:tblCellMar>
        <w:left w:w="0" w:type="dxa"/>
        <w:right w:w="0" w:type="dxa"/>
      </w:tblCellMar>
      <w:tblLook w:val="04A0" w:firstRow="1" w:lastRow="0" w:firstColumn="1" w:lastColumn="0" w:noHBand="0" w:noVBand="1"/>
    </w:tblPr>
    <w:tblGrid>
      <w:gridCol w:w="3493"/>
      <w:gridCol w:w="3993"/>
      <w:gridCol w:w="3493"/>
    </w:tblGrid>
    <w:tr w:rsidR="006B779E" w:rsidRPr="00BC5A05" w14:paraId="1BB417FF" w14:textId="77777777" w:rsidTr="00F00AF3">
      <w:trPr>
        <w:gridAfter w:val="1"/>
        <w:wAfter w:w="3493" w:type="dxa"/>
        <w:trHeight w:val="202"/>
      </w:trPr>
      <w:tc>
        <w:tcPr>
          <w:tcW w:w="7486" w:type="dxa"/>
          <w:gridSpan w:val="2"/>
          <w:tcMar>
            <w:top w:w="0" w:type="dxa"/>
            <w:left w:w="108" w:type="dxa"/>
            <w:bottom w:w="0" w:type="dxa"/>
            <w:right w:w="108" w:type="dxa"/>
          </w:tcMar>
          <w:hideMark/>
        </w:tcPr>
        <w:p w14:paraId="189B5FBA" w14:textId="77777777" w:rsidR="006B779E" w:rsidRPr="005C32DF" w:rsidRDefault="006B779E" w:rsidP="006B779E">
          <w:pPr>
            <w:pStyle w:val="Footer"/>
            <w:spacing w:after="60"/>
            <w:rPr>
              <w:rFonts w:cs="Arial"/>
              <w:b/>
              <w:bCs/>
              <w:sz w:val="12"/>
              <w:szCs w:val="12"/>
            </w:rPr>
          </w:pPr>
          <w:r w:rsidRPr="005C32DF">
            <w:rPr>
              <w:rFonts w:cs="Arial"/>
              <w:b/>
              <w:bCs/>
              <w:sz w:val="12"/>
              <w:szCs w:val="12"/>
            </w:rPr>
            <w:t>Société Générale S.A.</w:t>
          </w:r>
          <w:r w:rsidRPr="005C32DF">
            <w:rPr>
              <w:rFonts w:cs="Arial"/>
              <w:sz w:val="12"/>
              <w:szCs w:val="12"/>
            </w:rPr>
            <w:t xml:space="preserve"> </w:t>
          </w:r>
        </w:p>
      </w:tc>
    </w:tr>
    <w:tr w:rsidR="006B779E" w:rsidRPr="00BC5A05" w14:paraId="71C3C773" w14:textId="77777777" w:rsidTr="00F00AF3">
      <w:trPr>
        <w:trHeight w:val="866"/>
      </w:trPr>
      <w:tc>
        <w:tcPr>
          <w:tcW w:w="3493" w:type="dxa"/>
          <w:tcMar>
            <w:top w:w="0" w:type="dxa"/>
            <w:left w:w="108" w:type="dxa"/>
            <w:bottom w:w="0" w:type="dxa"/>
            <w:right w:w="108" w:type="dxa"/>
          </w:tcMar>
          <w:hideMark/>
        </w:tcPr>
        <w:p w14:paraId="670958AB" w14:textId="77777777" w:rsidR="006B779E" w:rsidRPr="005C32DF" w:rsidRDefault="006B779E" w:rsidP="006B779E">
          <w:pPr>
            <w:pStyle w:val="Footer"/>
            <w:rPr>
              <w:rFonts w:cs="Arial"/>
              <w:sz w:val="12"/>
              <w:szCs w:val="12"/>
              <w:lang w:val="fr-FR"/>
            </w:rPr>
          </w:pPr>
          <w:r w:rsidRPr="005C32DF">
            <w:rPr>
              <w:rFonts w:cs="Arial"/>
              <w:sz w:val="12"/>
              <w:szCs w:val="12"/>
              <w:lang w:val="fr-FR"/>
            </w:rPr>
            <w:t>29 Boulevard Haussmann 75009 Paris – France</w:t>
          </w:r>
        </w:p>
        <w:p w14:paraId="6C9B7973" w14:textId="77777777" w:rsidR="006B779E" w:rsidRPr="005C32DF" w:rsidRDefault="006B779E" w:rsidP="006B779E">
          <w:pPr>
            <w:pStyle w:val="Footer"/>
            <w:rPr>
              <w:rFonts w:cs="Arial"/>
              <w:sz w:val="12"/>
              <w:szCs w:val="12"/>
              <w:lang w:val="fr-FR"/>
            </w:rPr>
          </w:pPr>
          <w:r w:rsidRPr="005C32DF">
            <w:rPr>
              <w:rFonts w:cs="Arial"/>
              <w:sz w:val="12"/>
              <w:szCs w:val="12"/>
              <w:lang w:val="fr-FR"/>
            </w:rPr>
            <w:t>552 120 222 RCS Paris</w:t>
          </w:r>
        </w:p>
        <w:p w14:paraId="238F2F1C" w14:textId="77777777" w:rsidR="006B779E" w:rsidRPr="005C32DF" w:rsidRDefault="006B779E" w:rsidP="006B779E">
          <w:pPr>
            <w:pStyle w:val="Footer"/>
            <w:rPr>
              <w:rFonts w:cs="Arial"/>
              <w:sz w:val="12"/>
              <w:szCs w:val="12"/>
            </w:rPr>
          </w:pPr>
          <w:r w:rsidRPr="005C32DF">
            <w:rPr>
              <w:rFonts w:cs="Arial"/>
              <w:sz w:val="12"/>
              <w:szCs w:val="12"/>
            </w:rPr>
            <w:t>Capital stock €1,066,714,367.50</w:t>
          </w:r>
        </w:p>
        <w:p w14:paraId="470F023D" w14:textId="77777777" w:rsidR="006B779E" w:rsidRPr="005C32DF" w:rsidRDefault="00247F17" w:rsidP="006B779E">
          <w:pPr>
            <w:pStyle w:val="Footer"/>
            <w:rPr>
              <w:rFonts w:cs="Arial"/>
              <w:sz w:val="12"/>
              <w:szCs w:val="12"/>
            </w:rPr>
          </w:pPr>
          <w:hyperlink r:id="rId1" w:history="1">
            <w:r w:rsidR="006B779E" w:rsidRPr="005C32DF">
              <w:rPr>
                <w:rStyle w:val="Hyperlink"/>
                <w:rFonts w:cs="Arial"/>
                <w:sz w:val="12"/>
                <w:szCs w:val="12"/>
              </w:rPr>
              <w:t>www.socgen</w:t>
            </w:r>
          </w:hyperlink>
          <w:r w:rsidR="006B779E" w:rsidRPr="005C32DF">
            <w:rPr>
              <w:rFonts w:cs="Arial"/>
              <w:sz w:val="12"/>
              <w:szCs w:val="12"/>
            </w:rPr>
            <w:t>.com</w:t>
          </w:r>
        </w:p>
      </w:tc>
      <w:tc>
        <w:tcPr>
          <w:tcW w:w="3993" w:type="dxa"/>
          <w:tcMar>
            <w:top w:w="0" w:type="dxa"/>
            <w:left w:w="108" w:type="dxa"/>
            <w:bottom w:w="0" w:type="dxa"/>
            <w:right w:w="108" w:type="dxa"/>
          </w:tcMar>
        </w:tcPr>
        <w:p w14:paraId="25D5B96D" w14:textId="77777777" w:rsidR="006B779E" w:rsidRPr="005C32DF" w:rsidRDefault="006B779E" w:rsidP="006B779E">
          <w:pPr>
            <w:pStyle w:val="Footer"/>
            <w:rPr>
              <w:rFonts w:cs="Arial"/>
              <w:sz w:val="12"/>
              <w:szCs w:val="12"/>
            </w:rPr>
          </w:pPr>
        </w:p>
      </w:tc>
      <w:tc>
        <w:tcPr>
          <w:tcW w:w="3493" w:type="dxa"/>
        </w:tcPr>
        <w:p w14:paraId="13374738" w14:textId="77777777" w:rsidR="006B779E" w:rsidRPr="005C32DF" w:rsidRDefault="006B779E" w:rsidP="006B779E">
          <w:pPr>
            <w:pStyle w:val="Footer"/>
            <w:rPr>
              <w:rFonts w:cs="Arial"/>
              <w:sz w:val="12"/>
              <w:szCs w:val="12"/>
            </w:rPr>
          </w:pPr>
        </w:p>
        <w:p w14:paraId="4AB3E0CC" w14:textId="77777777" w:rsidR="006B779E" w:rsidRPr="005C32DF" w:rsidRDefault="006B779E" w:rsidP="006B779E">
          <w:pPr>
            <w:pStyle w:val="Footer"/>
            <w:rPr>
              <w:rFonts w:cs="Arial"/>
              <w:sz w:val="12"/>
              <w:szCs w:val="12"/>
            </w:rPr>
          </w:pPr>
        </w:p>
      </w:tc>
    </w:tr>
    <w:tr w:rsidR="006B779E" w:rsidRPr="00BC5A05" w14:paraId="3DC202FF" w14:textId="77777777" w:rsidTr="00F00AF3">
      <w:trPr>
        <w:gridAfter w:val="1"/>
        <w:wAfter w:w="3493" w:type="dxa"/>
        <w:trHeight w:val="80"/>
      </w:trPr>
      <w:tc>
        <w:tcPr>
          <w:tcW w:w="3493" w:type="dxa"/>
          <w:tcMar>
            <w:top w:w="0" w:type="dxa"/>
            <w:left w:w="108" w:type="dxa"/>
            <w:bottom w:w="0" w:type="dxa"/>
            <w:right w:w="108" w:type="dxa"/>
          </w:tcMar>
        </w:tcPr>
        <w:p w14:paraId="7EC782B5" w14:textId="77777777" w:rsidR="006B779E" w:rsidRPr="005C32DF" w:rsidRDefault="006B779E" w:rsidP="006B779E">
          <w:pPr>
            <w:pStyle w:val="Footer"/>
            <w:rPr>
              <w:rFonts w:cs="Arial"/>
              <w:sz w:val="12"/>
              <w:szCs w:val="12"/>
            </w:rPr>
          </w:pPr>
          <w:r w:rsidRPr="005C32DF">
            <w:rPr>
              <w:rFonts w:cs="Arial"/>
              <w:sz w:val="12"/>
              <w:szCs w:val="12"/>
            </w:rPr>
            <w:t>Authorised and regulated by the ACPR and AMF and supervised by ECB.</w:t>
          </w:r>
        </w:p>
      </w:tc>
      <w:tc>
        <w:tcPr>
          <w:tcW w:w="3993" w:type="dxa"/>
          <w:tcMar>
            <w:top w:w="0" w:type="dxa"/>
            <w:left w:w="108" w:type="dxa"/>
            <w:bottom w:w="0" w:type="dxa"/>
            <w:right w:w="108" w:type="dxa"/>
          </w:tcMar>
        </w:tcPr>
        <w:p w14:paraId="46EE4460" w14:textId="77777777" w:rsidR="006B779E" w:rsidRPr="005C32DF" w:rsidRDefault="006B779E" w:rsidP="006B779E">
          <w:pPr>
            <w:pStyle w:val="Footer"/>
            <w:rPr>
              <w:rFonts w:cs="Arial"/>
              <w:sz w:val="12"/>
              <w:szCs w:val="12"/>
            </w:rPr>
          </w:pPr>
        </w:p>
      </w:tc>
    </w:tr>
  </w:tbl>
  <w:p w14:paraId="56F9CE99" w14:textId="77777777" w:rsidR="006B779E" w:rsidRPr="005C32DF" w:rsidRDefault="006B779E" w:rsidP="006B779E">
    <w:pPr>
      <w:pStyle w:val="Footer"/>
      <w:rPr>
        <w:sz w:val="12"/>
        <w:szCs w:val="12"/>
      </w:rPr>
    </w:pPr>
  </w:p>
  <w:p w14:paraId="30DAF67E" w14:textId="77777777" w:rsidR="00DC62A4" w:rsidRDefault="00DC6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AEAD" w14:textId="77777777" w:rsidR="00881D7F" w:rsidRDefault="0088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B67BB" w14:textId="77777777" w:rsidR="00D10DFA" w:rsidRDefault="00D10DFA" w:rsidP="003A77F5">
      <w:pPr>
        <w:spacing w:after="0" w:line="240" w:lineRule="auto"/>
      </w:pPr>
      <w:r>
        <w:separator/>
      </w:r>
    </w:p>
  </w:footnote>
  <w:footnote w:type="continuationSeparator" w:id="0">
    <w:p w14:paraId="679CA611" w14:textId="77777777" w:rsidR="00D10DFA" w:rsidRDefault="00D10DFA" w:rsidP="003A7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F0796" w14:textId="77777777" w:rsidR="00881D7F" w:rsidRDefault="00881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2829" w14:textId="77777777" w:rsidR="003A77F5" w:rsidRDefault="003A77F5">
    <w:pPr>
      <w:pStyle w:val="Header"/>
    </w:pPr>
    <w:r>
      <w:rPr>
        <w:rFonts w:ascii="Tms Rmn" w:hAnsi="Tms Rmn"/>
        <w:noProof/>
        <w:lang w:eastAsia="en-GB"/>
      </w:rPr>
      <w:drawing>
        <wp:inline distT="0" distB="0" distL="0" distR="0" wp14:anchorId="1E9B510C" wp14:editId="4780F11B">
          <wp:extent cx="3048000" cy="400050"/>
          <wp:effectExtent l="0" t="0" r="0" b="0"/>
          <wp:docPr id="1" name="Picture 1" descr="SOCCIB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CIB 1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0" cy="400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E64F" w14:textId="77777777" w:rsidR="00881D7F" w:rsidRDefault="00881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F1B47"/>
    <w:multiLevelType w:val="hybridMultilevel"/>
    <w:tmpl w:val="9EB648B6"/>
    <w:lvl w:ilvl="0" w:tplc="D458DE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6644D"/>
    <w:multiLevelType w:val="hybridMultilevel"/>
    <w:tmpl w:val="7ADCC8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F5"/>
    <w:rsid w:val="00020DC0"/>
    <w:rsid w:val="0004269D"/>
    <w:rsid w:val="00081B7E"/>
    <w:rsid w:val="00092364"/>
    <w:rsid w:val="00094ED4"/>
    <w:rsid w:val="000A1ED5"/>
    <w:rsid w:val="000A4E33"/>
    <w:rsid w:val="000B1F39"/>
    <w:rsid w:val="000D407A"/>
    <w:rsid w:val="000E32D4"/>
    <w:rsid w:val="00100EA1"/>
    <w:rsid w:val="001236FA"/>
    <w:rsid w:val="00133758"/>
    <w:rsid w:val="00142A91"/>
    <w:rsid w:val="00195852"/>
    <w:rsid w:val="001C4B22"/>
    <w:rsid w:val="001D7225"/>
    <w:rsid w:val="001E666B"/>
    <w:rsid w:val="001F7A27"/>
    <w:rsid w:val="001F7A8C"/>
    <w:rsid w:val="00214319"/>
    <w:rsid w:val="002432EC"/>
    <w:rsid w:val="00247F17"/>
    <w:rsid w:val="00254972"/>
    <w:rsid w:val="00262709"/>
    <w:rsid w:val="00267E21"/>
    <w:rsid w:val="00273A08"/>
    <w:rsid w:val="002A3F8A"/>
    <w:rsid w:val="002B5801"/>
    <w:rsid w:val="002E4596"/>
    <w:rsid w:val="002E5286"/>
    <w:rsid w:val="002F6CA7"/>
    <w:rsid w:val="0030206C"/>
    <w:rsid w:val="003037BA"/>
    <w:rsid w:val="00324717"/>
    <w:rsid w:val="003445F0"/>
    <w:rsid w:val="0035328D"/>
    <w:rsid w:val="00366FB1"/>
    <w:rsid w:val="00374B81"/>
    <w:rsid w:val="00380C6B"/>
    <w:rsid w:val="00391643"/>
    <w:rsid w:val="003A77F5"/>
    <w:rsid w:val="003B4AFA"/>
    <w:rsid w:val="003B5CAA"/>
    <w:rsid w:val="003C1599"/>
    <w:rsid w:val="0041724B"/>
    <w:rsid w:val="00427E29"/>
    <w:rsid w:val="0043232A"/>
    <w:rsid w:val="00437FDD"/>
    <w:rsid w:val="00491C3B"/>
    <w:rsid w:val="00497D25"/>
    <w:rsid w:val="004C282E"/>
    <w:rsid w:val="004D501B"/>
    <w:rsid w:val="00516CCB"/>
    <w:rsid w:val="00564220"/>
    <w:rsid w:val="005675B8"/>
    <w:rsid w:val="0059419B"/>
    <w:rsid w:val="00594993"/>
    <w:rsid w:val="00597089"/>
    <w:rsid w:val="005C08B0"/>
    <w:rsid w:val="005C09B6"/>
    <w:rsid w:val="005C2433"/>
    <w:rsid w:val="005C250B"/>
    <w:rsid w:val="005C6D30"/>
    <w:rsid w:val="005E7BD2"/>
    <w:rsid w:val="005F5800"/>
    <w:rsid w:val="006027DE"/>
    <w:rsid w:val="0060721A"/>
    <w:rsid w:val="00635090"/>
    <w:rsid w:val="00636165"/>
    <w:rsid w:val="00647EE1"/>
    <w:rsid w:val="00657AC7"/>
    <w:rsid w:val="00661DAF"/>
    <w:rsid w:val="00686F6B"/>
    <w:rsid w:val="00694346"/>
    <w:rsid w:val="006A0D65"/>
    <w:rsid w:val="006A4DEB"/>
    <w:rsid w:val="006B779E"/>
    <w:rsid w:val="006F05FC"/>
    <w:rsid w:val="006F2FF8"/>
    <w:rsid w:val="00701083"/>
    <w:rsid w:val="00713B48"/>
    <w:rsid w:val="007173AF"/>
    <w:rsid w:val="007314FF"/>
    <w:rsid w:val="00735120"/>
    <w:rsid w:val="007549F8"/>
    <w:rsid w:val="00772EA3"/>
    <w:rsid w:val="0079123E"/>
    <w:rsid w:val="007E3F91"/>
    <w:rsid w:val="007E4665"/>
    <w:rsid w:val="008353A9"/>
    <w:rsid w:val="00844E19"/>
    <w:rsid w:val="00847A61"/>
    <w:rsid w:val="00857BDB"/>
    <w:rsid w:val="00881D7F"/>
    <w:rsid w:val="00893BD5"/>
    <w:rsid w:val="008C0EF2"/>
    <w:rsid w:val="008D6AF4"/>
    <w:rsid w:val="008E5CB8"/>
    <w:rsid w:val="008E6B98"/>
    <w:rsid w:val="008F02D1"/>
    <w:rsid w:val="00904E28"/>
    <w:rsid w:val="00932ED3"/>
    <w:rsid w:val="0093490C"/>
    <w:rsid w:val="0093614F"/>
    <w:rsid w:val="009408BF"/>
    <w:rsid w:val="0099398D"/>
    <w:rsid w:val="009A6290"/>
    <w:rsid w:val="009C3AB1"/>
    <w:rsid w:val="009C4C56"/>
    <w:rsid w:val="009C7370"/>
    <w:rsid w:val="009D167C"/>
    <w:rsid w:val="00A00951"/>
    <w:rsid w:val="00A27B16"/>
    <w:rsid w:val="00A46AA2"/>
    <w:rsid w:val="00A5049C"/>
    <w:rsid w:val="00A65510"/>
    <w:rsid w:val="00A6700F"/>
    <w:rsid w:val="00A76D46"/>
    <w:rsid w:val="00AC2592"/>
    <w:rsid w:val="00AD0221"/>
    <w:rsid w:val="00AE18B1"/>
    <w:rsid w:val="00AF6135"/>
    <w:rsid w:val="00AF694A"/>
    <w:rsid w:val="00B05EC2"/>
    <w:rsid w:val="00B47C50"/>
    <w:rsid w:val="00B6471B"/>
    <w:rsid w:val="00B80E28"/>
    <w:rsid w:val="00B8243A"/>
    <w:rsid w:val="00B86976"/>
    <w:rsid w:val="00BC232D"/>
    <w:rsid w:val="00BD1D37"/>
    <w:rsid w:val="00BD50A4"/>
    <w:rsid w:val="00BD7992"/>
    <w:rsid w:val="00BF376A"/>
    <w:rsid w:val="00C06B21"/>
    <w:rsid w:val="00C42AAF"/>
    <w:rsid w:val="00C64808"/>
    <w:rsid w:val="00C742E3"/>
    <w:rsid w:val="00C92E01"/>
    <w:rsid w:val="00C95E98"/>
    <w:rsid w:val="00CA3929"/>
    <w:rsid w:val="00CC536E"/>
    <w:rsid w:val="00CC6DC7"/>
    <w:rsid w:val="00CD1281"/>
    <w:rsid w:val="00CD289C"/>
    <w:rsid w:val="00D10DFA"/>
    <w:rsid w:val="00D10EF0"/>
    <w:rsid w:val="00D12218"/>
    <w:rsid w:val="00D1788C"/>
    <w:rsid w:val="00D33BA6"/>
    <w:rsid w:val="00D65601"/>
    <w:rsid w:val="00D9022C"/>
    <w:rsid w:val="00DC1197"/>
    <w:rsid w:val="00DC62A4"/>
    <w:rsid w:val="00DD0229"/>
    <w:rsid w:val="00DE3F28"/>
    <w:rsid w:val="00DE4A5C"/>
    <w:rsid w:val="00DE7FE5"/>
    <w:rsid w:val="00E54158"/>
    <w:rsid w:val="00E635AE"/>
    <w:rsid w:val="00E67587"/>
    <w:rsid w:val="00EB1598"/>
    <w:rsid w:val="00EB4618"/>
    <w:rsid w:val="00EE59A6"/>
    <w:rsid w:val="00F128EB"/>
    <w:rsid w:val="00F3399A"/>
    <w:rsid w:val="00F75084"/>
    <w:rsid w:val="00F937E3"/>
    <w:rsid w:val="00F94CB3"/>
    <w:rsid w:val="00F9602B"/>
    <w:rsid w:val="00FC10FD"/>
    <w:rsid w:val="00FD231E"/>
    <w:rsid w:val="00FD5D29"/>
    <w:rsid w:val="00FE2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4012AB"/>
  <w15:chartTrackingRefBased/>
  <w15:docId w15:val="{FF87467A-5002-4455-8CF9-840BD356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7F5"/>
  </w:style>
  <w:style w:type="paragraph" w:styleId="Footer">
    <w:name w:val="footer"/>
    <w:basedOn w:val="Normal"/>
    <w:link w:val="FooterChar"/>
    <w:uiPriority w:val="99"/>
    <w:unhideWhenUsed/>
    <w:rsid w:val="003A7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7F5"/>
  </w:style>
  <w:style w:type="character" w:styleId="Hyperlink">
    <w:name w:val="Hyperlink"/>
    <w:basedOn w:val="DefaultParagraphFont"/>
    <w:uiPriority w:val="99"/>
    <w:unhideWhenUsed/>
    <w:rsid w:val="002B5801"/>
    <w:rPr>
      <w:color w:val="0000FF"/>
      <w:u w:val="single"/>
    </w:rPr>
  </w:style>
  <w:style w:type="character" w:styleId="FollowedHyperlink">
    <w:name w:val="FollowedHyperlink"/>
    <w:basedOn w:val="DefaultParagraphFont"/>
    <w:uiPriority w:val="99"/>
    <w:semiHidden/>
    <w:unhideWhenUsed/>
    <w:rsid w:val="007E4665"/>
    <w:rPr>
      <w:color w:val="954F72" w:themeColor="followedHyperlink"/>
      <w:u w:val="single"/>
    </w:rPr>
  </w:style>
  <w:style w:type="paragraph" w:styleId="ListParagraph">
    <w:name w:val="List Paragraph"/>
    <w:basedOn w:val="Normal"/>
    <w:uiPriority w:val="34"/>
    <w:qFormat/>
    <w:rsid w:val="005F5800"/>
    <w:pPr>
      <w:ind w:left="720"/>
      <w:contextualSpacing/>
    </w:pPr>
  </w:style>
  <w:style w:type="character" w:styleId="CommentReference">
    <w:name w:val="annotation reference"/>
    <w:basedOn w:val="DefaultParagraphFont"/>
    <w:uiPriority w:val="99"/>
    <w:semiHidden/>
    <w:unhideWhenUsed/>
    <w:rsid w:val="00B80E28"/>
    <w:rPr>
      <w:sz w:val="16"/>
      <w:szCs w:val="16"/>
    </w:rPr>
  </w:style>
  <w:style w:type="paragraph" w:styleId="CommentText">
    <w:name w:val="annotation text"/>
    <w:basedOn w:val="Normal"/>
    <w:link w:val="CommentTextChar"/>
    <w:uiPriority w:val="99"/>
    <w:semiHidden/>
    <w:unhideWhenUsed/>
    <w:rsid w:val="00B80E28"/>
    <w:pPr>
      <w:spacing w:line="240" w:lineRule="auto"/>
    </w:pPr>
    <w:rPr>
      <w:sz w:val="20"/>
      <w:szCs w:val="20"/>
    </w:rPr>
  </w:style>
  <w:style w:type="character" w:customStyle="1" w:styleId="CommentTextChar">
    <w:name w:val="Comment Text Char"/>
    <w:basedOn w:val="DefaultParagraphFont"/>
    <w:link w:val="CommentText"/>
    <w:uiPriority w:val="99"/>
    <w:semiHidden/>
    <w:rsid w:val="00B80E28"/>
    <w:rPr>
      <w:sz w:val="20"/>
      <w:szCs w:val="20"/>
    </w:rPr>
  </w:style>
  <w:style w:type="paragraph" w:styleId="CommentSubject">
    <w:name w:val="annotation subject"/>
    <w:basedOn w:val="CommentText"/>
    <w:next w:val="CommentText"/>
    <w:link w:val="CommentSubjectChar"/>
    <w:uiPriority w:val="99"/>
    <w:semiHidden/>
    <w:unhideWhenUsed/>
    <w:rsid w:val="00B80E28"/>
    <w:rPr>
      <w:b/>
      <w:bCs/>
    </w:rPr>
  </w:style>
  <w:style w:type="character" w:customStyle="1" w:styleId="CommentSubjectChar">
    <w:name w:val="Comment Subject Char"/>
    <w:basedOn w:val="CommentTextChar"/>
    <w:link w:val="CommentSubject"/>
    <w:uiPriority w:val="99"/>
    <w:semiHidden/>
    <w:rsid w:val="00B80E28"/>
    <w:rPr>
      <w:b/>
      <w:bCs/>
      <w:sz w:val="20"/>
      <w:szCs w:val="20"/>
    </w:rPr>
  </w:style>
  <w:style w:type="paragraph" w:styleId="BalloonText">
    <w:name w:val="Balloon Text"/>
    <w:basedOn w:val="Normal"/>
    <w:link w:val="BalloonTextChar"/>
    <w:uiPriority w:val="99"/>
    <w:semiHidden/>
    <w:unhideWhenUsed/>
    <w:rsid w:val="00B8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E28"/>
    <w:rPr>
      <w:rFonts w:ascii="Segoe UI" w:hAnsi="Segoe UI" w:cs="Segoe UI"/>
      <w:sz w:val="18"/>
      <w:szCs w:val="18"/>
    </w:rPr>
  </w:style>
  <w:style w:type="character" w:styleId="UnresolvedMention">
    <w:name w:val="Unresolved Mention"/>
    <w:basedOn w:val="DefaultParagraphFont"/>
    <w:uiPriority w:val="99"/>
    <w:semiHidden/>
    <w:unhideWhenUsed/>
    <w:rsid w:val="005E7BD2"/>
    <w:rPr>
      <w:color w:val="605E5C"/>
      <w:shd w:val="clear" w:color="auto" w:fill="E1DFDD"/>
    </w:rPr>
  </w:style>
  <w:style w:type="paragraph" w:customStyle="1" w:styleId="null">
    <w:name w:val="null"/>
    <w:basedOn w:val="Normal"/>
    <w:rsid w:val="00636165"/>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7228">
      <w:bodyDiv w:val="1"/>
      <w:marLeft w:val="0"/>
      <w:marRight w:val="0"/>
      <w:marTop w:val="0"/>
      <w:marBottom w:val="0"/>
      <w:divBdr>
        <w:top w:val="none" w:sz="0" w:space="0" w:color="auto"/>
        <w:left w:val="none" w:sz="0" w:space="0" w:color="auto"/>
        <w:bottom w:val="none" w:sz="0" w:space="0" w:color="auto"/>
        <w:right w:val="none" w:sz="0" w:space="0" w:color="auto"/>
      </w:divBdr>
    </w:div>
    <w:div w:id="665325231">
      <w:bodyDiv w:val="1"/>
      <w:marLeft w:val="0"/>
      <w:marRight w:val="0"/>
      <w:marTop w:val="0"/>
      <w:marBottom w:val="0"/>
      <w:divBdr>
        <w:top w:val="none" w:sz="0" w:space="0" w:color="auto"/>
        <w:left w:val="none" w:sz="0" w:space="0" w:color="auto"/>
        <w:bottom w:val="none" w:sz="0" w:space="0" w:color="auto"/>
        <w:right w:val="none" w:sz="0" w:space="0" w:color="auto"/>
      </w:divBdr>
    </w:div>
    <w:div w:id="1520049260">
      <w:bodyDiv w:val="1"/>
      <w:marLeft w:val="0"/>
      <w:marRight w:val="0"/>
      <w:marTop w:val="0"/>
      <w:marBottom w:val="0"/>
      <w:divBdr>
        <w:top w:val="none" w:sz="0" w:space="0" w:color="auto"/>
        <w:left w:val="none" w:sz="0" w:space="0" w:color="auto"/>
        <w:bottom w:val="none" w:sz="0" w:space="0" w:color="auto"/>
        <w:right w:val="none" w:sz="0" w:space="0" w:color="auto"/>
      </w:divBdr>
    </w:div>
    <w:div w:id="1966111169">
      <w:bodyDiv w:val="1"/>
      <w:marLeft w:val="0"/>
      <w:marRight w:val="0"/>
      <w:marTop w:val="0"/>
      <w:marBottom w:val="0"/>
      <w:divBdr>
        <w:top w:val="none" w:sz="0" w:space="0" w:color="auto"/>
        <w:left w:val="none" w:sz="0" w:space="0" w:color="auto"/>
        <w:bottom w:val="none" w:sz="0" w:space="0" w:color="auto"/>
        <w:right w:val="none" w:sz="0" w:space="0" w:color="auto"/>
      </w:divBdr>
    </w:div>
    <w:div w:id="2015036488">
      <w:bodyDiv w:val="1"/>
      <w:marLeft w:val="0"/>
      <w:marRight w:val="0"/>
      <w:marTop w:val="0"/>
      <w:marBottom w:val="0"/>
      <w:divBdr>
        <w:top w:val="none" w:sz="0" w:space="0" w:color="auto"/>
        <w:left w:val="none" w:sz="0" w:space="0" w:color="auto"/>
        <w:bottom w:val="none" w:sz="0" w:space="0" w:color="auto"/>
        <w:right w:val="none" w:sz="0" w:space="0" w:color="auto"/>
      </w:divBdr>
    </w:div>
    <w:div w:id="2018460410">
      <w:bodyDiv w:val="1"/>
      <w:marLeft w:val="0"/>
      <w:marRight w:val="0"/>
      <w:marTop w:val="0"/>
      <w:marBottom w:val="0"/>
      <w:divBdr>
        <w:top w:val="none" w:sz="0" w:space="0" w:color="auto"/>
        <w:left w:val="none" w:sz="0" w:space="0" w:color="auto"/>
        <w:bottom w:val="none" w:sz="0" w:space="0" w:color="auto"/>
        <w:right w:val="none" w:sz="0" w:space="0" w:color="auto"/>
      </w:divBdr>
    </w:div>
    <w:div w:id="20754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holesale.banking.societegenerale.com/en/compliance-regulatory-information/market-regulation/clearing-and-prime-brokerage-activ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oc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193A5DF112E640803D9EAC1642DDFE" ma:contentTypeVersion="10" ma:contentTypeDescription="Create a new document." ma:contentTypeScope="" ma:versionID="c0a5db3cc4d6fe86c75078ea189deee8">
  <xsd:schema xmlns:xsd="http://www.w3.org/2001/XMLSchema" xmlns:xs="http://www.w3.org/2001/XMLSchema" xmlns:p="http://schemas.microsoft.com/office/2006/metadata/properties" xmlns:ns3="f282b54d-d857-45b5-b987-1d2bdbe76794" targetNamespace="http://schemas.microsoft.com/office/2006/metadata/properties" ma:root="true" ma:fieldsID="a4cfa2b26c63afeb52eff1d058fa53ea" ns3:_="">
    <xsd:import namespace="f282b54d-d857-45b5-b987-1d2bdbe767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2b54d-d857-45b5-b987-1d2bdbe76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D8826-8AF0-4D6F-8207-B68957F32D80}">
  <ds:schemaRefs>
    <ds:schemaRef ds:uri="http://schemas.microsoft.com/sharepoint/v3/contenttype/forms"/>
  </ds:schemaRefs>
</ds:datastoreItem>
</file>

<file path=customXml/itemProps2.xml><?xml version="1.0" encoding="utf-8"?>
<ds:datastoreItem xmlns:ds="http://schemas.openxmlformats.org/officeDocument/2006/customXml" ds:itemID="{FD11978F-D715-4F14-B2F6-87CE6FA1FDC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82b54d-d857-45b5-b987-1d2bdbe7679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7F99531-D26C-4B49-9AA3-37E841BCD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2b54d-d857-45b5-b987-1d2bdbe7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Jeffrey REGIONAL LEGAL TEAM</dc:creator>
  <cp:keywords/>
  <dc:description/>
  <cp:lastModifiedBy>HO Jeffrey SeglLgl</cp:lastModifiedBy>
  <cp:revision>5</cp:revision>
  <dcterms:created xsi:type="dcterms:W3CDTF">2020-11-24T00:35:00Z</dcterms:created>
  <dcterms:modified xsi:type="dcterms:W3CDTF">2020-12-04T05:11:00Z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01b303-ecb1-4a9d-936a-70858c2d9a3e_Enabled">
    <vt:lpwstr>True</vt:lpwstr>
  </property>
  <property fmtid="{D5CDD505-2E9C-101B-9397-08002B2CF9AE}" pid="3" name="MSIP_Label_a401b303-ecb1-4a9d-936a-70858c2d9a3e_SiteId">
    <vt:lpwstr>c9a7d621-4bc4-4407-b730-f428e656aa9e</vt:lpwstr>
  </property>
  <property fmtid="{D5CDD505-2E9C-101B-9397-08002B2CF9AE}" pid="4" name="MSIP_Label_a401b303-ecb1-4a9d-936a-70858c2d9a3e_Owner">
    <vt:lpwstr>jeffrey.ho@sgcib.com</vt:lpwstr>
  </property>
  <property fmtid="{D5CDD505-2E9C-101B-9397-08002B2CF9AE}" pid="5" name="MSIP_Label_a401b303-ecb1-4a9d-936a-70858c2d9a3e_SetDate">
    <vt:lpwstr>2020-10-13T09:41:19.3635558Z</vt:lpwstr>
  </property>
  <property fmtid="{D5CDD505-2E9C-101B-9397-08002B2CF9AE}" pid="6" name="MSIP_Label_a401b303-ecb1-4a9d-936a-70858c2d9a3e_Name">
    <vt:lpwstr>C1 - Restricted</vt:lpwstr>
  </property>
  <property fmtid="{D5CDD505-2E9C-101B-9397-08002B2CF9AE}" pid="7" name="MSIP_Label_a401b303-ecb1-4a9d-936a-70858c2d9a3e_Application">
    <vt:lpwstr>Microsoft Azure Information Protection</vt:lpwstr>
  </property>
  <property fmtid="{D5CDD505-2E9C-101B-9397-08002B2CF9AE}" pid="8" name="MSIP_Label_a401b303-ecb1-4a9d-936a-70858c2d9a3e_ActionId">
    <vt:lpwstr>c87d654f-f4c5-449f-b961-64f37791af96</vt:lpwstr>
  </property>
  <property fmtid="{D5CDD505-2E9C-101B-9397-08002B2CF9AE}" pid="9" name="MSIP_Label_a401b303-ecb1-4a9d-936a-70858c2d9a3e_Extended_MSFT_Method">
    <vt:lpwstr>Manual</vt:lpwstr>
  </property>
  <property fmtid="{D5CDD505-2E9C-101B-9397-08002B2CF9AE}" pid="10" name="Sensitivity">
    <vt:lpwstr>C1 - Restricted</vt:lpwstr>
  </property>
  <property fmtid="{D5CDD505-2E9C-101B-9397-08002B2CF9AE}" pid="11" name="ContentTypeId">
    <vt:lpwstr>0x01010086193A5DF112E640803D9EAC1642DDFE</vt:lpwstr>
  </property>
</Properties>
</file>